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5"/>
        <w:ind w:left="1036" w:right="0" w:firstLine="0"/>
        <w:jc w:val="left"/>
        <w:rPr>
          <w:b/>
          <w:sz w:val="28"/>
        </w:rPr>
      </w:pPr>
      <w:r>
        <w:rPr>
          <w:b/>
          <w:sz w:val="28"/>
        </w:rPr>
        <w:t>关于万葵稳健 2 号混合型基金巨额赎回的公告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41"/>
        </w:rPr>
      </w:pPr>
    </w:p>
    <w:p>
      <w:pPr>
        <w:pStyle w:val="BodyText"/>
        <w:spacing w:before="1"/>
        <w:ind w:left="120"/>
      </w:pPr>
      <w:r>
        <w:rPr/>
        <w:t>尊敬的份额持有人：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 w:before="1"/>
        <w:ind w:left="120" w:right="113" w:firstLine="619"/>
      </w:pPr>
      <w:r>
        <w:rPr>
          <w:spacing w:val="-2"/>
          <w:w w:val="100"/>
        </w:rPr>
        <w:t>万葵稳健</w:t>
      </w:r>
      <w:r>
        <w:rPr>
          <w:spacing w:val="-71"/>
        </w:rPr>
        <w:t> </w:t>
      </w:r>
      <w:r>
        <w:rPr>
          <w:w w:val="100"/>
        </w:rPr>
        <w:t>2</w:t>
      </w:r>
      <w:r>
        <w:rPr>
          <w:spacing w:val="-70"/>
        </w:rPr>
        <w:t> </w:t>
      </w:r>
      <w:r>
        <w:rPr>
          <w:spacing w:val="-3"/>
          <w:w w:val="100"/>
        </w:rPr>
        <w:t>号混合型基金</w:t>
      </w:r>
      <w:r>
        <w:rPr>
          <w:spacing w:val="-1"/>
          <w:w w:val="100"/>
        </w:rPr>
        <w:t>（</w:t>
      </w:r>
      <w:r>
        <w:rPr>
          <w:spacing w:val="-19"/>
          <w:w w:val="100"/>
        </w:rPr>
        <w:t>以下简称“本基金”</w:t>
      </w:r>
      <w:r>
        <w:rPr>
          <w:spacing w:val="-1"/>
          <w:w w:val="100"/>
        </w:rPr>
        <w:t>）</w:t>
      </w:r>
      <w:r>
        <w:rPr>
          <w:w w:val="100"/>
        </w:rPr>
        <w:t>于</w:t>
      </w:r>
      <w:r>
        <w:rPr>
          <w:spacing w:val="-73"/>
        </w:rPr>
        <w:t> </w:t>
      </w:r>
      <w:r>
        <w:rPr>
          <w:spacing w:val="1"/>
          <w:w w:val="100"/>
        </w:rPr>
        <w:t>2</w:t>
      </w:r>
      <w:r>
        <w:rPr>
          <w:spacing w:val="-2"/>
          <w:w w:val="100"/>
        </w:rPr>
        <w:t>0</w:t>
      </w:r>
      <w:r>
        <w:rPr>
          <w:spacing w:val="1"/>
          <w:w w:val="100"/>
        </w:rPr>
        <w:t>2</w:t>
      </w:r>
      <w:r>
        <w:rPr>
          <w:w w:val="100"/>
        </w:rPr>
        <w:t>1</w:t>
      </w:r>
      <w:r>
        <w:rPr>
          <w:spacing w:val="-72"/>
        </w:rPr>
        <w:t> </w:t>
      </w:r>
      <w:r>
        <w:rPr>
          <w:w w:val="100"/>
        </w:rPr>
        <w:t>年</w:t>
      </w:r>
      <w:r>
        <w:rPr/>
        <w:t> </w:t>
      </w:r>
      <w:r>
        <w:rPr>
          <w:w w:val="100"/>
        </w:rPr>
        <w:t>3</w:t>
      </w:r>
      <w:r>
        <w:rPr>
          <w:spacing w:val="1"/>
        </w:rPr>
        <w:t>月 </w:t>
      </w:r>
      <w:r>
        <w:rPr/>
        <w:t>25</w:t>
      </w:r>
      <w:r>
        <w:rPr>
          <w:spacing w:val="-10"/>
        </w:rPr>
        <w:t> 日基金份额净赎回申请超过前一开放日的基金总份额的 </w:t>
      </w:r>
      <w:r>
        <w:rPr/>
        <w:t>10%， </w:t>
      </w:r>
      <w:r>
        <w:rPr>
          <w:spacing w:val="-3"/>
        </w:rPr>
        <w:t>触发巨额赎回。</w:t>
      </w:r>
    </w:p>
    <w:p>
      <w:pPr>
        <w:pStyle w:val="BodyText"/>
        <w:spacing w:line="417" w:lineRule="auto"/>
        <w:ind w:left="120" w:right="137" w:firstLine="480"/>
      </w:pPr>
      <w:r>
        <w:rPr>
          <w:spacing w:val="-5"/>
        </w:rPr>
        <w:t>据本基金基金合同约定，因投资人有赎回基金份额的需求，我司</w:t>
      </w:r>
      <w:r>
        <w:rPr>
          <w:spacing w:val="-37"/>
        </w:rPr>
        <w:t>将 </w:t>
      </w:r>
      <w:r>
        <w:rPr/>
        <w:t>2021</w:t>
      </w:r>
      <w:r>
        <w:rPr>
          <w:spacing w:val="-47"/>
        </w:rPr>
        <w:t> 年 </w:t>
      </w:r>
      <w:r>
        <w:rPr/>
        <w:t>3</w:t>
      </w:r>
      <w:r>
        <w:rPr>
          <w:spacing w:val="-47"/>
        </w:rPr>
        <w:t> 月 </w:t>
      </w:r>
      <w:r>
        <w:rPr/>
        <w:t>25</w:t>
      </w:r>
      <w:r>
        <w:rPr>
          <w:spacing w:val="-15"/>
        </w:rPr>
        <w:t> 日开放日为此基金提交份额赎回申请，外包登记机</w:t>
      </w:r>
    </w:p>
    <w:p>
      <w:pPr>
        <w:pStyle w:val="BodyText"/>
        <w:spacing w:line="417" w:lineRule="auto"/>
        <w:ind w:left="120" w:right="137"/>
      </w:pPr>
      <w:r>
        <w:rPr>
          <w:spacing w:val="-10"/>
        </w:rPr>
        <w:t>构招商证券股份有限公司于 </w:t>
      </w:r>
      <w:r>
        <w:rPr/>
        <w:t>2021</w:t>
      </w:r>
      <w:r>
        <w:rPr>
          <w:spacing w:val="-57"/>
        </w:rPr>
        <w:t> 年 </w:t>
      </w:r>
      <w:r>
        <w:rPr/>
        <w:t>3</w:t>
      </w:r>
      <w:r>
        <w:rPr>
          <w:spacing w:val="-58"/>
        </w:rPr>
        <w:t> 月 </w:t>
      </w:r>
      <w:r>
        <w:rPr/>
        <w:t>26</w:t>
      </w:r>
      <w:r>
        <w:rPr>
          <w:spacing w:val="-11"/>
        </w:rPr>
        <w:t> 日将本次赎回确认为巨额</w:t>
      </w:r>
      <w:r>
        <w:rPr>
          <w:spacing w:val="-5"/>
        </w:rPr>
        <w:t>赎回，我司予以确认且赎回款已全部分配完毕。</w:t>
      </w:r>
    </w:p>
    <w:p>
      <w:pPr>
        <w:pStyle w:val="BodyText"/>
        <w:spacing w:line="417" w:lineRule="auto"/>
        <w:ind w:left="120" w:right="137" w:firstLine="559"/>
        <w:jc w:val="both"/>
      </w:pPr>
      <w:r>
        <w:rPr>
          <w:spacing w:val="-3"/>
        </w:rPr>
        <w:t>本公司承诺以诚实信用、勤勉尽责的原则管理和运用基金资产, 但不保证基金一定盈利,也不保证最低收益。基金的过往业绩及其净值高低并不预示其未来业绩表现。本公司提醒投资者,投资者投资于</w:t>
      </w:r>
      <w:r>
        <w:rPr>
          <w:spacing w:val="-8"/>
        </w:rPr>
        <w:t>基金前应认真阅读本基金的基金合同等文件，敬请投资者注意投资风险。</w:t>
      </w:r>
    </w:p>
    <w:p>
      <w:pPr>
        <w:pStyle w:val="BodyText"/>
        <w:spacing w:line="358" w:lineRule="exact"/>
        <w:ind w:left="600"/>
      </w:pPr>
      <w:r>
        <w:rPr/>
        <w:drawing>
          <wp:anchor distT="0" distB="0" distL="0" distR="0" allowOverlap="1" layoutInCell="1" locked="0" behindDoc="1" simplePos="0" relativeHeight="251619328">
            <wp:simplePos x="0" y="0"/>
            <wp:positionH relativeFrom="page">
              <wp:posOffset>4363211</wp:posOffset>
            </wp:positionH>
            <wp:positionV relativeFrom="paragraph">
              <wp:posOffset>411146</wp:posOffset>
            </wp:positionV>
            <wp:extent cx="1514856" cy="151485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856" cy="151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特此公告。</w:t>
      </w:r>
    </w:p>
    <w:p>
      <w:pPr>
        <w:pStyle w:val="BodyText"/>
      </w:pPr>
    </w:p>
    <w:p>
      <w:pPr>
        <w:pStyle w:val="BodyText"/>
        <w:spacing w:before="3"/>
        <w:rPr>
          <w:sz w:val="41"/>
        </w:rPr>
      </w:pPr>
    </w:p>
    <w:p>
      <w:pPr>
        <w:pStyle w:val="BodyText"/>
        <w:spacing w:line="417" w:lineRule="auto"/>
        <w:ind w:left="5299" w:right="322" w:hanging="699"/>
      </w:pPr>
      <w:r>
        <w:rPr/>
        <w:t>东莞市万葵资产管理有限公司2021 年 3 月 27 号</w:t>
      </w:r>
    </w:p>
    <w:sectPr>
      <w:type w:val="continuous"/>
      <w:pgSz w:w="11910" w:h="16840"/>
      <w:pgMar w:top="1520" w:bottom="280" w:left="168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仿宋">
    <w:altName w:val="仿宋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" w:hAnsi="仿宋" w:eastAsia="仿宋" w:cs="仿宋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仿宋" w:hAnsi="仿宋" w:eastAsia="仿宋" w:cs="仿宋"/>
      <w:sz w:val="28"/>
      <w:szCs w:val="28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dcterms:created xsi:type="dcterms:W3CDTF">2021-04-02T05:53:22Z</dcterms:created>
  <dcterms:modified xsi:type="dcterms:W3CDTF">2021-04-02T05:53:22Z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2021-04-02T00:00:00Z</vt:filetime>
  </property>
</Properties>
</file>