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ind w:right="560"/>
        <w:rPr>
          <w:sz w:val="28"/>
          <w:szCs w:val="28"/>
        </w:rPr>
      </w:pPr>
    </w:p>
    <w:p>
      <w:pPr>
        <w:pStyle w:val="19"/>
        <w:spacing w:line="360" w:lineRule="auto"/>
        <w:jc w:val="center"/>
        <w:rPr>
          <w:rFonts w:ascii="宋体" w:hAnsi="宋体"/>
          <w:b/>
          <w:sz w:val="32"/>
          <w:szCs w:val="32"/>
        </w:rPr>
      </w:pPr>
      <w:r>
        <w:rPr>
          <w:rFonts w:hint="eastAsia" w:ascii="宋体" w:hAnsi="宋体"/>
          <w:b/>
          <w:sz w:val="32"/>
          <w:szCs w:val="32"/>
        </w:rPr>
        <w:t>关于万葵聚富湾系列基金</w:t>
      </w:r>
    </w:p>
    <w:p>
      <w:pPr>
        <w:pStyle w:val="19"/>
        <w:spacing w:line="360" w:lineRule="auto"/>
        <w:jc w:val="center"/>
        <w:rPr>
          <w:rFonts w:ascii="宋体" w:hAnsi="宋体"/>
          <w:b/>
          <w:sz w:val="32"/>
          <w:szCs w:val="32"/>
        </w:rPr>
      </w:pPr>
      <w:r>
        <w:rPr>
          <w:rFonts w:hint="eastAsia" w:ascii="宋体" w:hAnsi="宋体"/>
          <w:b/>
          <w:sz w:val="32"/>
          <w:szCs w:val="32"/>
        </w:rPr>
        <w:t>基金合同变更（20230A）的意见征询函</w:t>
      </w:r>
    </w:p>
    <w:p>
      <w:pPr>
        <w:pStyle w:val="20"/>
        <w:spacing w:before="156" w:beforeLines="50" w:after="156" w:afterLines="50" w:line="360" w:lineRule="auto"/>
        <w:rPr>
          <w:rFonts w:ascii="宋体" w:hAnsi="宋体"/>
          <w:sz w:val="24"/>
          <w:szCs w:val="24"/>
        </w:rPr>
      </w:pPr>
      <w:r>
        <w:rPr>
          <w:rFonts w:hint="eastAsia" w:ascii="宋体" w:hAnsi="宋体"/>
          <w:sz w:val="24"/>
          <w:szCs w:val="24"/>
          <w:lang w:eastAsia="zh-CN"/>
        </w:rPr>
        <w:t>尊敬的投资人</w:t>
      </w:r>
      <w:r>
        <w:rPr>
          <w:rFonts w:hint="eastAsia" w:ascii="宋体" w:hAnsi="宋体"/>
          <w:sz w:val="24"/>
          <w:szCs w:val="24"/>
        </w:rPr>
        <w:t>：</w:t>
      </w:r>
    </w:p>
    <w:p>
      <w:pPr>
        <w:pStyle w:val="20"/>
        <w:spacing w:line="360" w:lineRule="auto"/>
        <w:ind w:firstLine="480" w:firstLineChars="200"/>
        <w:rPr>
          <w:rFonts w:ascii="宋体" w:hAnsi="宋体"/>
          <w:sz w:val="24"/>
          <w:szCs w:val="24"/>
        </w:rPr>
      </w:pPr>
      <w:r>
        <w:rPr>
          <w:rFonts w:hint="eastAsia" w:ascii="宋体" w:hAnsi="宋体"/>
          <w:sz w:val="24"/>
          <w:szCs w:val="24"/>
        </w:rPr>
        <w:t>东莞市万葵资产管理有限公司（以下简称“我司”）</w:t>
      </w:r>
      <w:r>
        <w:rPr>
          <w:rFonts w:hint="eastAsia" w:ascii="宋体" w:hAnsi="宋体"/>
          <w:sz w:val="24"/>
          <w:szCs w:val="24"/>
          <w:lang w:eastAsia="zh-CN"/>
        </w:rPr>
        <w:t>旗下</w:t>
      </w:r>
      <w:r>
        <w:rPr>
          <w:rFonts w:hint="eastAsia" w:ascii="宋体" w:hAnsi="宋体"/>
          <w:sz w:val="24"/>
          <w:szCs w:val="24"/>
        </w:rPr>
        <w:t>万葵聚富湾系列基金（以下简称“该基金”）自成立以来，一直坚持规范运作，稳健运营。为更好地为该基金投资者提供投资服务，我司拟根据万葵聚富湾系列基金的基金合同（以下简称“基金合同”）的约定对该基金相关条款进行变更。</w:t>
      </w:r>
    </w:p>
    <w:p>
      <w:pPr>
        <w:pStyle w:val="20"/>
        <w:spacing w:line="360" w:lineRule="auto"/>
        <w:ind w:firstLine="480" w:firstLineChars="200"/>
        <w:rPr>
          <w:rFonts w:ascii="宋体" w:hAnsi="宋体"/>
          <w:sz w:val="24"/>
          <w:szCs w:val="24"/>
        </w:rPr>
      </w:pPr>
      <w:r>
        <w:rPr>
          <w:rFonts w:hint="eastAsia" w:ascii="宋体" w:hAnsi="宋体"/>
          <w:sz w:val="24"/>
          <w:szCs w:val="24"/>
        </w:rPr>
        <w:t>该基金与对应的基金合同如附件一列表所示。</w:t>
      </w:r>
    </w:p>
    <w:p>
      <w:pPr>
        <w:pStyle w:val="20"/>
        <w:spacing w:line="360" w:lineRule="auto"/>
        <w:ind w:firstLine="480" w:firstLineChars="200"/>
        <w:rPr>
          <w:rFonts w:hint="eastAsia" w:ascii="宋体" w:hAnsi="宋体"/>
          <w:b/>
          <w:color w:val="000000"/>
          <w:kern w:val="0"/>
          <w:sz w:val="24"/>
          <w:szCs w:val="21"/>
        </w:rPr>
      </w:pPr>
      <w:r>
        <w:rPr>
          <w:rFonts w:hint="eastAsia" w:ascii="宋体" w:hAnsi="宋体"/>
          <w:sz w:val="24"/>
          <w:szCs w:val="24"/>
        </w:rPr>
        <w:t>我司特向</w:t>
      </w:r>
      <w:r>
        <w:rPr>
          <w:rFonts w:hint="eastAsia" w:ascii="宋体" w:hAnsi="宋体"/>
          <w:sz w:val="24"/>
          <w:szCs w:val="24"/>
          <w:lang w:eastAsia="zh-CN"/>
        </w:rPr>
        <w:t>各位基金份额持有人</w:t>
      </w:r>
      <w:r>
        <w:rPr>
          <w:rFonts w:hint="eastAsia" w:ascii="宋体" w:hAnsi="宋体"/>
          <w:sz w:val="24"/>
          <w:szCs w:val="24"/>
        </w:rPr>
        <w:t>征询关于基金合同相关条款变更的意见。</w:t>
      </w:r>
    </w:p>
    <w:p>
      <w:pPr>
        <w:pStyle w:val="19"/>
        <w:spacing w:line="360" w:lineRule="auto"/>
        <w:ind w:firstLine="482" w:firstLineChars="200"/>
        <w:outlineLvl w:val="0"/>
        <w:rPr>
          <w:rFonts w:ascii="宋体" w:hAnsi="宋体"/>
          <w:b/>
          <w:color w:val="000000"/>
          <w:kern w:val="0"/>
          <w:sz w:val="24"/>
          <w:szCs w:val="21"/>
        </w:rPr>
      </w:pPr>
      <w:r>
        <w:rPr>
          <w:rFonts w:hint="eastAsia" w:ascii="宋体" w:hAnsi="宋体"/>
          <w:b/>
          <w:color w:val="000000"/>
          <w:kern w:val="0"/>
          <w:sz w:val="24"/>
          <w:szCs w:val="21"/>
        </w:rPr>
        <w:t>一、条款具体修改如下：</w:t>
      </w:r>
    </w:p>
    <w:p>
      <w:pPr>
        <w:pStyle w:val="19"/>
        <w:spacing w:line="360" w:lineRule="auto"/>
        <w:ind w:firstLine="422" w:firstLineChars="200"/>
        <w:outlineLvl w:val="0"/>
        <w:rPr>
          <w:rFonts w:ascii="宋体" w:hAnsi="宋体"/>
          <w:b/>
          <w:color w:val="000000"/>
          <w:kern w:val="0"/>
          <w:sz w:val="24"/>
          <w:szCs w:val="21"/>
        </w:rPr>
      </w:pPr>
      <w:r>
        <w:rPr>
          <w:rFonts w:hint="eastAsia" w:ascii="宋体" w:hAnsi="宋体"/>
          <w:b/>
          <w:color w:val="000000"/>
          <w:kern w:val="0"/>
          <w:szCs w:val="21"/>
        </w:rPr>
        <w:t>序号1</w:t>
      </w:r>
    </w:p>
    <w:p>
      <w:pPr>
        <w:pStyle w:val="19"/>
        <w:spacing w:line="360" w:lineRule="auto"/>
        <w:ind w:firstLine="420" w:firstLineChars="200"/>
        <w:outlineLvl w:val="0"/>
        <w:rPr>
          <w:rFonts w:ascii="宋体" w:hAnsi="宋体"/>
          <w:b/>
          <w:color w:val="000000"/>
          <w:kern w:val="0"/>
          <w:sz w:val="24"/>
          <w:szCs w:val="21"/>
        </w:rPr>
      </w:pPr>
      <w:r>
        <w:rPr>
          <w:rFonts w:hint="eastAsia" w:ascii="宋体" w:hAnsi="宋体"/>
          <w:color w:val="000000"/>
          <w:kern w:val="0"/>
          <w:szCs w:val="21"/>
        </w:rPr>
        <w:t>七、基金的申购、赎回、转让与转换</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trPr>
        <w:tc>
          <w:tcPr>
            <w:tcW w:w="8522" w:type="dxa"/>
            <w:shd w:val="clear" w:color="auto" w:fill="auto"/>
          </w:tcPr>
          <w:p>
            <w:pPr>
              <w:pStyle w:val="19"/>
              <w:spacing w:line="360" w:lineRule="auto"/>
              <w:ind w:firstLine="422" w:firstLineChars="200"/>
              <w:rPr>
                <w:rFonts w:ascii="宋体" w:hAnsi="宋体"/>
                <w:szCs w:val="21"/>
              </w:rPr>
            </w:pPr>
            <w:r>
              <w:rPr>
                <w:rFonts w:hint="eastAsia" w:ascii="宋体" w:hAnsi="宋体"/>
                <w:b/>
                <w:szCs w:val="21"/>
              </w:rPr>
              <w:t>“</w:t>
            </w:r>
            <w:r>
              <w:rPr>
                <w:rFonts w:hint="eastAsia" w:ascii="宋体" w:hAnsi="宋体"/>
                <w:szCs w:val="21"/>
              </w:rPr>
              <w:t>（一）申购和赎回的开放日及时间</w:t>
            </w:r>
            <w:r>
              <w:rPr>
                <w:rFonts w:hint="eastAsia" w:ascii="宋体" w:hAnsi="宋体"/>
                <w:b/>
                <w:szCs w:val="21"/>
              </w:rPr>
              <w:t>”变更后条款：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8522" w:type="dxa"/>
            <w:shd w:val="clear" w:color="auto" w:fill="auto"/>
          </w:tcPr>
          <w:p>
            <w:pPr>
              <w:pStyle w:val="19"/>
              <w:spacing w:line="360" w:lineRule="auto"/>
              <w:ind w:firstLine="420" w:firstLineChars="200"/>
              <w:rPr>
                <w:rFonts w:hint="eastAsia" w:ascii="宋体" w:hAnsi="宋体"/>
                <w:szCs w:val="21"/>
              </w:rPr>
            </w:pPr>
            <w:r>
              <w:rPr>
                <w:rFonts w:hint="eastAsia" w:ascii="宋体" w:hAnsi="宋体"/>
                <w:szCs w:val="21"/>
              </w:rPr>
              <w:t>基金投资者可在本基金开放日根据本合同相关约定申购和/或赎回本基金，但基金管理人根据法律法规、中国证监会的要求或本合同的规定发布暂停申购和/或赎回通知时除外。基金投资者须在开放日或开放日之前的工作日的9：00-15：00内根据募集机构的规定向募集机构及其销售网点提交书面申请文件（如募集机构另有规定的，遵循募集机构相关规定办理申请提交事宜）。未提交书面申请文件的，募集机构及其销售网点有权拒绝投资者的申购或赎回申请。若法律法规、中国证监会、中国基金业协会有新的规定或出现其他特殊情况，基金管理人将视情况对开放时间进行相应调整并进行通知。管理人应当统筹考虑投资标的流动性、投资策略、投资限制、销售渠道、潜在投资者类型与风险偏好、投资者结构等因素，设置匹配的开放期。</w:t>
            </w:r>
          </w:p>
          <w:p>
            <w:pPr>
              <w:pStyle w:val="19"/>
              <w:spacing w:line="360" w:lineRule="auto"/>
              <w:ind w:firstLine="420" w:firstLineChars="200"/>
              <w:rPr>
                <w:rFonts w:hint="eastAsia" w:ascii="宋体" w:hAnsi="宋体"/>
                <w:szCs w:val="21"/>
              </w:rPr>
            </w:pPr>
            <w:r>
              <w:rPr>
                <w:rFonts w:hint="eastAsia" w:ascii="宋体" w:hAnsi="宋体"/>
                <w:szCs w:val="21"/>
              </w:rPr>
              <w:t>本基金开放日为每自然周周二和周五（遇法定节假日均顺延至下一工作日，如顺延至同一工作日，则上述重合的开放日只开放一个工作日）。</w:t>
            </w:r>
          </w:p>
          <w:p>
            <w:pPr>
              <w:pStyle w:val="19"/>
              <w:spacing w:line="360" w:lineRule="auto"/>
              <w:ind w:firstLine="420" w:firstLineChars="200"/>
              <w:rPr>
                <w:rFonts w:ascii="宋体" w:hAnsi="宋体"/>
                <w:b/>
                <w:szCs w:val="21"/>
              </w:rPr>
            </w:pPr>
            <w:r>
              <w:rPr>
                <w:rFonts w:hint="eastAsia" w:ascii="宋体" w:hAnsi="宋体"/>
                <w:szCs w:val="21"/>
              </w:rPr>
              <w:t>出现以下情形时，管理人可增设临时开放日：法律、法规、自律规则及有关政策发生变化及其他情形需对本基金进行合同变更、能够公平保护所有投资者利益的基金投资运作需求、流动性管理等。临时开放日只可赎回不可申购，具体开放日期以管理人通知为准（管理人向托管人发出申购和/或赎回指令即视为已向托管人通知增设临时开放日，因管理人未及时通知基金投资者临时开放日导致的损失，托管人不承担责任）。</w:t>
            </w:r>
          </w:p>
        </w:tc>
      </w:tr>
    </w:tbl>
    <w:p>
      <w:pPr>
        <w:pStyle w:val="19"/>
        <w:spacing w:line="360" w:lineRule="auto"/>
        <w:ind w:firstLine="420" w:firstLineChars="200"/>
        <w:rPr>
          <w:rFonts w:ascii="宋体" w:hAnsi="宋体"/>
          <w:szCs w:val="21"/>
        </w:rPr>
      </w:pPr>
    </w:p>
    <w:p>
      <w:pPr>
        <w:pStyle w:val="20"/>
        <w:spacing w:line="520" w:lineRule="exact"/>
        <w:ind w:firstLine="482" w:firstLineChars="200"/>
        <w:outlineLvl w:val="0"/>
        <w:rPr>
          <w:rFonts w:ascii="宋体" w:hAnsi="宋体"/>
          <w:b/>
          <w:sz w:val="24"/>
        </w:rPr>
      </w:pPr>
      <w:r>
        <w:rPr>
          <w:rFonts w:hint="eastAsia" w:ascii="宋体" w:hAnsi="宋体"/>
          <w:b/>
          <w:sz w:val="24"/>
        </w:rPr>
        <w:t>二、变更流程</w:t>
      </w:r>
    </w:p>
    <w:p>
      <w:pPr>
        <w:pStyle w:val="20"/>
        <w:spacing w:line="520" w:lineRule="exact"/>
        <w:ind w:firstLine="480" w:firstLineChars="200"/>
        <w:rPr>
          <w:rFonts w:ascii="宋体" w:hAnsi="宋体"/>
          <w:sz w:val="24"/>
        </w:rPr>
      </w:pPr>
      <w:r>
        <w:rPr>
          <w:rFonts w:hint="eastAsia" w:ascii="宋体" w:hAnsi="宋体"/>
          <w:sz w:val="24"/>
        </w:rPr>
        <w:t>我司按照基金合同的约定通过本函向基金份额持有人披露基金合同变更事宜，征询</w:t>
      </w:r>
      <w:r>
        <w:rPr>
          <w:rFonts w:hint="eastAsia" w:ascii="宋体" w:hAnsi="宋体"/>
          <w:sz w:val="24"/>
          <w:lang w:eastAsia="zh-CN"/>
        </w:rPr>
        <w:t>各位</w:t>
      </w:r>
      <w:r>
        <w:rPr>
          <w:rFonts w:hint="eastAsia" w:ascii="宋体" w:hAnsi="宋体"/>
          <w:sz w:val="24"/>
        </w:rPr>
        <w:t>基金份额持有人合同变更意见。</w:t>
      </w:r>
      <w:r>
        <w:rPr>
          <w:rFonts w:hint="eastAsia" w:ascii="宋体" w:hAnsi="宋体"/>
          <w:sz w:val="24"/>
          <w:lang w:eastAsia="zh-CN"/>
        </w:rPr>
        <w:t>我司将</w:t>
      </w:r>
      <w:r>
        <w:rPr>
          <w:rFonts w:hint="eastAsia" w:ascii="宋体" w:hAnsi="宋体"/>
          <w:sz w:val="24"/>
          <w:lang w:val="en-US" w:eastAsia="zh-CN"/>
        </w:rPr>
        <w:t>2023年4月20日-2023年4月21日作为回复意见日，</w:t>
      </w:r>
      <w:r>
        <w:rPr>
          <w:rFonts w:hint="eastAsia" w:ascii="宋体" w:hAnsi="宋体"/>
          <w:sz w:val="24"/>
        </w:rPr>
        <w:t>并设置2023年04月</w:t>
      </w:r>
      <w:r>
        <w:rPr>
          <w:rFonts w:hint="eastAsia" w:ascii="宋体" w:hAnsi="宋体"/>
          <w:sz w:val="24"/>
          <w:lang w:val="en-US" w:eastAsia="zh-CN"/>
        </w:rPr>
        <w:t>21</w:t>
      </w:r>
      <w:bookmarkStart w:id="0" w:name="_GoBack"/>
      <w:bookmarkEnd w:id="0"/>
      <w:r>
        <w:rPr>
          <w:rFonts w:hint="eastAsia" w:ascii="宋体" w:hAnsi="宋体"/>
          <w:sz w:val="24"/>
        </w:rPr>
        <w:t>日作为开放日，为不同意此次变更的客户安排赎回</w:t>
      </w:r>
      <w:r>
        <w:rPr>
          <w:rFonts w:hint="eastAsia" w:ascii="宋体" w:hAnsi="宋体"/>
          <w:sz w:val="24"/>
          <w:lang w:eastAsia="zh-CN"/>
        </w:rPr>
        <w:t>，如</w:t>
      </w:r>
      <w:r>
        <w:rPr>
          <w:rFonts w:hint="eastAsia" w:ascii="宋体" w:hAnsi="宋体"/>
          <w:sz w:val="24"/>
        </w:rPr>
        <w:t>基金份额持有人未在指定日期内回复意见或未在指定的日期内赎回本基金的，视为基金份额持有人同意合同变更</w:t>
      </w:r>
      <w:r>
        <w:rPr>
          <w:rFonts w:hint="eastAsia" w:ascii="宋体" w:hAnsi="宋体"/>
          <w:sz w:val="24"/>
          <w:lang w:eastAsia="zh-CN"/>
        </w:rPr>
        <w:t>，</w:t>
      </w:r>
      <w:r>
        <w:rPr>
          <w:rFonts w:hint="eastAsia" w:ascii="宋体" w:hAnsi="宋体"/>
          <w:sz w:val="24"/>
        </w:rPr>
        <w:t>我司承诺合同变更生效后将根据法律法规、中国证监会和基金业协会的要求及时履行报告义务以及向</w:t>
      </w:r>
      <w:r>
        <w:rPr>
          <w:rFonts w:hint="eastAsia" w:ascii="宋体" w:hAnsi="宋体"/>
          <w:sz w:val="24"/>
          <w:lang w:eastAsia="zh-CN"/>
        </w:rPr>
        <w:t>各位</w:t>
      </w:r>
      <w:r>
        <w:rPr>
          <w:rFonts w:hint="eastAsia" w:ascii="宋体" w:hAnsi="宋体"/>
          <w:sz w:val="24"/>
        </w:rPr>
        <w:t>投资者披露。</w:t>
      </w:r>
    </w:p>
    <w:p>
      <w:pPr>
        <w:pStyle w:val="19"/>
        <w:spacing w:line="520" w:lineRule="exact"/>
        <w:ind w:firstLine="480" w:firstLineChars="200"/>
        <w:rPr>
          <w:rFonts w:ascii="宋体" w:hAnsi="宋体"/>
          <w:sz w:val="24"/>
        </w:rPr>
      </w:pPr>
    </w:p>
    <w:p>
      <w:pPr>
        <w:pStyle w:val="19"/>
        <w:spacing w:line="360" w:lineRule="auto"/>
        <w:ind w:firstLine="480" w:firstLineChars="200"/>
        <w:jc w:val="right"/>
        <w:rPr>
          <w:sz w:val="24"/>
        </w:rPr>
      </w:pPr>
      <w:r>
        <w:rPr>
          <w:rFonts w:hint="eastAsia" w:ascii="宋体" w:hAnsi="宋体"/>
          <w:sz w:val="24"/>
          <w:szCs w:val="24"/>
        </w:rPr>
        <w:t>东莞市万葵资产管理有限公司</w:t>
      </w:r>
    </w:p>
    <w:p>
      <w:pPr>
        <w:pStyle w:val="19"/>
        <w:widowControl/>
        <w:wordWrap w:val="0"/>
        <w:jc w:val="right"/>
        <w:rPr>
          <w:sz w:val="24"/>
        </w:rPr>
      </w:pPr>
      <w:r>
        <w:rPr>
          <w:rFonts w:hint="eastAsia"/>
          <w:sz w:val="24"/>
        </w:rPr>
        <w:t>2023年4月</w:t>
      </w:r>
      <w:r>
        <w:rPr>
          <w:rFonts w:hint="eastAsia"/>
          <w:sz w:val="24"/>
          <w:lang w:val="en-US" w:eastAsia="zh-CN"/>
        </w:rPr>
        <w:t>20</w:t>
      </w:r>
      <w:r>
        <w:rPr>
          <w:rFonts w:hint="eastAsia"/>
          <w:sz w:val="24"/>
        </w:rPr>
        <w:t>日</w:t>
      </w:r>
    </w:p>
    <w:p>
      <w:pPr>
        <w:pStyle w:val="19"/>
        <w:spacing w:line="540" w:lineRule="exact"/>
        <w:jc w:val="both"/>
        <w:rPr>
          <w:rFonts w:ascii="宋体" w:hAnsi="宋体"/>
          <w:sz w:val="28"/>
          <w:szCs w:val="28"/>
        </w:rPr>
      </w:pPr>
      <w:r>
        <w:rPr>
          <w:rFonts w:hint="eastAsia" w:ascii="宋体" w:hAnsi="宋体"/>
          <w:sz w:val="28"/>
          <w:szCs w:val="28"/>
        </w:rPr>
        <w:t>附件一：</w:t>
      </w:r>
    </w:p>
    <w:tbl>
      <w:tblPr>
        <w:tblStyle w:val="9"/>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19"/>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4219" w:type="dxa"/>
            <w:shd w:val="clear" w:color="auto" w:fill="auto"/>
          </w:tcPr>
          <w:p>
            <w:pPr>
              <w:pStyle w:val="19"/>
              <w:spacing w:line="360" w:lineRule="auto"/>
              <w:ind w:right="560"/>
              <w:rPr>
                <w:rFonts w:ascii="宋体" w:hAnsi="宋体"/>
                <w:sz w:val="28"/>
                <w:szCs w:val="28"/>
              </w:rPr>
            </w:pPr>
            <w:r>
              <w:rPr>
                <w:rFonts w:hint="eastAsia" w:ascii="宋体" w:hAnsi="宋体"/>
                <w:sz w:val="28"/>
                <w:szCs w:val="28"/>
              </w:rPr>
              <w:t>产品名称</w:t>
            </w:r>
          </w:p>
        </w:tc>
        <w:tc>
          <w:tcPr>
            <w:tcW w:w="4394" w:type="dxa"/>
            <w:shd w:val="clear" w:color="auto" w:fill="auto"/>
          </w:tcPr>
          <w:p>
            <w:pPr>
              <w:pStyle w:val="19"/>
              <w:spacing w:line="360" w:lineRule="auto"/>
              <w:ind w:right="560"/>
              <w:rPr>
                <w:rFonts w:ascii="宋体" w:hAnsi="宋体"/>
                <w:sz w:val="28"/>
                <w:szCs w:val="28"/>
              </w:rPr>
            </w:pPr>
            <w:r>
              <w:rPr>
                <w:rFonts w:hint="eastAsia" w:ascii="宋体" w:hAnsi="宋体"/>
                <w:sz w:val="28"/>
                <w:szCs w:val="28"/>
              </w:rPr>
              <w:t>合同名称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万葵聚富湾11号家族私募证券投资基金</w:t>
            </w:r>
          </w:p>
        </w:tc>
        <w:tc>
          <w:tcPr>
            <w:tcW w:w="4394"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万葵聚富湾11号家族私募证券投资基金</w:t>
            </w:r>
            <w:r>
              <w:rPr>
                <w:rFonts w:ascii="宋体" w:hAnsi="宋体"/>
                <w:sz w:val="24"/>
                <w:szCs w:val="24"/>
              </w:rPr>
              <w:t>基金合同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万葵聚富湾102号家族私募证券投资基金</w:t>
            </w:r>
          </w:p>
        </w:tc>
        <w:tc>
          <w:tcPr>
            <w:tcW w:w="4394"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万葵聚富湾102号家族私募证券投资基金</w:t>
            </w:r>
            <w:r>
              <w:rPr>
                <w:rFonts w:ascii="宋体" w:hAnsi="宋体"/>
                <w:sz w:val="24"/>
                <w:szCs w:val="24"/>
              </w:rPr>
              <w:t>基金合同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万葵聚富湾105号家族私募证券投资基金</w:t>
            </w:r>
          </w:p>
        </w:tc>
        <w:tc>
          <w:tcPr>
            <w:tcW w:w="4394"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万葵聚富湾105号家族私募证券投资基金</w:t>
            </w:r>
            <w:r>
              <w:rPr>
                <w:rFonts w:ascii="宋体" w:hAnsi="宋体"/>
                <w:sz w:val="24"/>
                <w:szCs w:val="24"/>
              </w:rPr>
              <w:t>基金合同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万葵聚富湾106号家族私募证券投资基金</w:t>
            </w:r>
          </w:p>
        </w:tc>
        <w:tc>
          <w:tcPr>
            <w:tcW w:w="4394" w:type="dxa"/>
            <w:shd w:val="clear" w:color="auto" w:fill="auto"/>
          </w:tcPr>
          <w:p>
            <w:pPr>
              <w:pStyle w:val="19"/>
              <w:spacing w:line="360" w:lineRule="auto"/>
              <w:ind w:right="560"/>
              <w:rPr>
                <w:rFonts w:ascii="宋体" w:hAnsi="宋体"/>
                <w:sz w:val="24"/>
                <w:szCs w:val="24"/>
              </w:rPr>
            </w:pPr>
            <w:r>
              <w:rPr>
                <w:rFonts w:hint="eastAsia" w:ascii="宋体" w:hAnsi="宋体"/>
                <w:sz w:val="24"/>
                <w:szCs w:val="24"/>
              </w:rPr>
              <w:t>万葵聚富湾106号家族私募证券投资基金</w:t>
            </w:r>
            <w:r>
              <w:rPr>
                <w:rFonts w:ascii="宋体" w:hAnsi="宋体"/>
                <w:sz w:val="24"/>
                <w:szCs w:val="24"/>
              </w:rPr>
              <w:t>基金合同</w:t>
            </w:r>
          </w:p>
        </w:tc>
      </w:tr>
    </w:tbl>
    <w:p>
      <w:pPr>
        <w:pStyle w:val="19"/>
        <w:spacing w:line="360" w:lineRule="auto"/>
        <w:ind w:right="560"/>
        <w:rPr>
          <w:rFonts w:ascii="宋体" w:hAnsi="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73266"/>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MjIwY2UxMTE0ZDNiOTIxYzAxOTQxZWUwMzc0MzQifQ=="/>
  </w:docVars>
  <w:rsids>
    <w:rsidRoot w:val="00000000"/>
    <w:rsid w:val="187F6C7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semiHidden/>
    <w:unhideWhenUsed/>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7">
    <w:name w:val="annotation subject"/>
    <w:basedOn w:val="2"/>
    <w:next w:val="2"/>
    <w:semiHidden/>
    <w:unhideWhenUsed/>
    <w:qFormat/>
    <w:uiPriority w:val="99"/>
    <w:rPr>
      <w:b/>
      <w:bCs/>
    </w:rPr>
  </w:style>
  <w:style w:type="table" w:styleId="9">
    <w:name w:val="Table Grid"/>
    <w:basedOn w:val="8"/>
    <w:qFormat/>
    <w:uiPriority w:val="9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标题 Char"/>
    <w:basedOn w:val="10"/>
    <w:qFormat/>
    <w:uiPriority w:val="10"/>
    <w:rPr>
      <w:rFonts w:eastAsia="宋体" w:asciiTheme="majorHAnsi" w:hAnsiTheme="majorHAnsi" w:cstheme="majorBidi"/>
      <w:b/>
      <w:bCs/>
      <w:sz w:val="32"/>
      <w:szCs w:val="32"/>
    </w:rPr>
  </w:style>
  <w:style w:type="character" w:customStyle="1" w:styleId="13">
    <w:name w:val="页眉 Char"/>
    <w:basedOn w:val="10"/>
    <w:qFormat/>
    <w:uiPriority w:val="99"/>
    <w:rPr>
      <w:sz w:val="18"/>
      <w:szCs w:val="18"/>
    </w:rPr>
  </w:style>
  <w:style w:type="character" w:customStyle="1" w:styleId="14">
    <w:name w:val="页脚 Char"/>
    <w:basedOn w:val="10"/>
    <w:qFormat/>
    <w:uiPriority w:val="99"/>
    <w:rPr>
      <w:sz w:val="18"/>
      <w:szCs w:val="18"/>
    </w:rPr>
  </w:style>
  <w:style w:type="character" w:customStyle="1" w:styleId="15">
    <w:name w:val="批注文字 Char"/>
    <w:basedOn w:val="10"/>
    <w:semiHidden/>
    <w:qFormat/>
    <w:uiPriority w:val="99"/>
  </w:style>
  <w:style w:type="character" w:customStyle="1" w:styleId="16">
    <w:name w:val="批注主题 Char"/>
    <w:basedOn w:val="15"/>
    <w:semiHidden/>
    <w:qFormat/>
    <w:uiPriority w:val="99"/>
    <w:rPr>
      <w:b/>
      <w:bCs/>
    </w:rPr>
  </w:style>
  <w:style w:type="character" w:customStyle="1" w:styleId="17">
    <w:name w:val="批注框文本 Char"/>
    <w:basedOn w:val="10"/>
    <w:semiHidden/>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Normal_0af8ddca-6e45-44e6-a56c-21f1440f68a6"/>
    <w:qFormat/>
    <w:uiPriority w:val="0"/>
    <w:pPr>
      <w:widowControl w:val="0"/>
      <w:jc w:val="both"/>
    </w:pPr>
    <w:rPr>
      <w:rFonts w:asciiTheme="minorHAnsi" w:hAnsiTheme="minorHAnsi" w:eastAsiaTheme="minorEastAsia" w:cstheme="minorBidi"/>
      <w:kern w:val="2"/>
      <w:sz w:val="21"/>
      <w:szCs w:val="22"/>
    </w:rPr>
  </w:style>
  <w:style w:type="paragraph" w:customStyle="1" w:styleId="20">
    <w:name w:val="Normal_489d4c73-0cad-4d70-86c6-d4237a4e6593"/>
    <w:qFormat/>
    <w:uiPriority w:val="0"/>
    <w:pPr>
      <w:widowControl w:val="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_KSOProductBuildMID">
    <vt:lpwstr>DQWMG6GP7RSA05BGRKR8ML0C7NL0OAYRES06WJDUXGPRTE5T66BR6CJGFS6TPFRRBSM6OOZGZIX78PNJQFFAYF8C8RMMWIWBANOD0HB3CDB0DA31A059B7AED78A6850D1E417A3</vt:lpwstr>
  </property>
  <property fmtid="{D5CDD505-2E9C-101B-9397-08002B2CF9AE}" pid="4" name="_KSOProductBuildSID">
    <vt:lpwstr>CKWMG6BW797Q059GQZRNDL0R7NZMOXVR9J0XBJECXFB8TECTN0BRICJAFSTTP8RRXOMX9OL5ZI6D8MJJQXFADFFT8RMMWMLB8NOOMHB36F026083E1E8FA97993FC21C1075999D</vt:lpwstr>
  </property>
</Properties>
</file>

<file path=customXml/item3.xml><?xml version="1.0" encoding="utf-8"?>
<Properties xmlns="http://schemas.openxmlformats.org/officeDocument/2006/extended-properties" xmlns:vt="http://schemas.openxmlformats.org/officeDocument/2006/docPropsVTypes">
  <Template>Normal.dotm</Template>
  <Company>China</Company>
  <Pages>3</Pages>
  <Words>114</Words>
  <Characters>654</Characters>
  <Lines>5</Lines>
  <Paragraphs>1</Paragraphs>
  <TotalTime>1</TotalTime>
  <ScaleCrop>false</ScaleCrop>
  <LinksUpToDate>false</LinksUpToDate>
  <CharactersWithSpaces>767</CharactersWithSpaces>
  <Application>WPS Office_10.8.2.6870_F1E327BC-269C-435d-A152-05C5408002CA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2017-05-13T05:25:00Z</dcterms:created>
  <dc:creator>zhangzb</dc:creator>
  <cp:lastModifiedBy>laiweiqi</cp:lastModifiedBy>
  <dcterms:modified xsi:type="dcterms:W3CDTF">2023-04-14T07:26:02Z</dcterms:modified>
  <cp:revision>81</cp:revision>
</cp:coreProperties>
</file>

<file path=customXml/itemProps1.xml><?xml version="1.0" encoding="utf-8"?>
<ds:datastoreItem xmlns:ds="http://schemas.openxmlformats.org/officeDocument/2006/customXml" ds:itemID="{EB5FDACF-C762-4D07-B77C-B1CFDDBE9AF8}">
  <ds:schemaRefs/>
</ds:datastoreItem>
</file>

<file path=customXml/itemProps2.xml><?xml version="1.0" encoding="utf-8"?>
<ds:datastoreItem xmlns:ds="http://schemas.openxmlformats.org/officeDocument/2006/customXml" ds:itemID="{8df96876-3a7b-4b91-a701-c305c5af62ad}">
  <ds:schemaRefs/>
</ds:datastoreItem>
</file>

<file path=customXml/itemProps3.xml><?xml version="1.0" encoding="utf-8"?>
<ds:datastoreItem xmlns:ds="http://schemas.openxmlformats.org/officeDocument/2006/customXml" ds:itemID="{b0e92a29-bc24-4fe8-a8cc-533b33c27e8f}">
  <ds:schemaRefs/>
</ds:datastoreItem>
</file>

<file path=customXml/itemProps4.xml><?xml version="1.0" encoding="utf-8"?>
<ds:datastoreItem xmlns:ds="http://schemas.openxmlformats.org/officeDocument/2006/customXml" ds:itemID="{ada41c07-d5d0-4bd5-a96d-2450db99238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114</Words>
  <Characters>654</Characters>
  <Lines>5</Lines>
  <Paragraphs>1</Paragraphs>
  <TotalTime>3</TotalTime>
  <ScaleCrop>false</ScaleCrop>
  <LinksUpToDate>false</LinksUpToDate>
  <CharactersWithSpaces>767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2017-05-13T05:25:00Z</dcterms:created>
  <dc:creator>zhangzb</dc:creator>
  <cp:lastModifiedBy>CJ</cp:lastModifiedBy>
  <dcterms:modified xsi:type="dcterms:W3CDTF">2023-04-26T06:28:04Z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B4A1C27C994F4011B577230EB1745891_13</vt:lpwstr>
  </property>
</Properties>
</file>