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59" w:lineRule="auto"/>
        <w:ind w:left="137" w:right="0" w:firstLine="0"/>
        <w:jc w:val="center"/>
      </w:pPr>
      <w:bookmarkStart w:id="0" w:name="_GoBack"/>
      <w:bookmarkEnd w:id="0"/>
      <w:r>
        <w:rPr>
          <w:rFonts w:hint="eastAsia"/>
          <w:sz w:val="32"/>
        </w:rPr>
        <w:t>万葵稳健22号私募证券投资基金基金分红公告</w:t>
      </w:r>
    </w:p>
    <w:p>
      <w:pPr>
        <w:ind w:left="-15" w:firstLine="3946"/>
      </w:pPr>
      <w:r>
        <w:t>公告日期：2023年12月11日</w:t>
      </w:r>
    </w:p>
    <w:p>
      <w:pPr>
        <w:rPr>
          <w:b/>
        </w:rPr>
      </w:pPr>
      <w:r>
        <w:rPr>
          <w:b/>
        </w:rPr>
        <w:t xml:space="preserve"> 1.公告基本信息</w:t>
      </w:r>
    </w:p>
    <w:tbl>
      <w:tblPr>
        <w:tblStyle w:val="6"/>
        <w:tblW w:w="5000" w:type="pct"/>
        <w:tblInd w:w="0" w:type="dxa"/>
        <w:tblLayout w:type="autofit"/>
        <w:tblCellMar>
          <w:top w:w="129" w:type="dxa"/>
          <w:left w:w="100" w:type="dxa"/>
          <w:bottom w:w="0" w:type="dxa"/>
          <w:right w:w="115" w:type="dxa"/>
        </w:tblCellMar>
      </w:tblPr>
      <w:tblGrid>
        <w:gridCol w:w="4275"/>
        <w:gridCol w:w="6503"/>
      </w:tblGrid>
      <w:tr>
        <w:tblPrEx>
          <w:tblCellMar>
            <w:top w:w="129" w:type="dxa"/>
            <w:left w:w="100" w:type="dxa"/>
            <w:bottom w:w="0" w:type="dxa"/>
            <w:right w:w="115" w:type="dxa"/>
          </w:tblCellMar>
        </w:tblPrEx>
        <w:trPr>
          <w:trHeight w:val="440" w:hRule="atLeast"/>
        </w:trPr>
        <w:tc>
          <w:tcPr>
            <w:tcW w:w="1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180" w:lineRule="auto"/>
              <w:ind w:left="0" w:right="0" w:firstLine="0"/>
            </w:pPr>
            <w:r>
              <w:t>基金名称</w:t>
            </w:r>
          </w:p>
        </w:tc>
        <w:tc>
          <w:tcPr>
            <w:tcW w:w="30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180" w:lineRule="auto"/>
              <w:ind w:left="0" w:right="0" w:firstLine="0"/>
            </w:pPr>
            <w:r>
              <w:rPr>
                <w:rFonts w:hint="eastAsia"/>
              </w:rPr>
              <w:t>万葵稳健22号私募证券投资基金</w:t>
            </w:r>
          </w:p>
        </w:tc>
      </w:tr>
      <w:tr>
        <w:tblPrEx>
          <w:tblCellMar>
            <w:top w:w="129" w:type="dxa"/>
            <w:left w:w="100" w:type="dxa"/>
            <w:bottom w:w="0" w:type="dxa"/>
            <w:right w:w="115" w:type="dxa"/>
          </w:tblCellMar>
        </w:tblPrEx>
        <w:trPr>
          <w:trHeight w:val="440" w:hRule="atLeast"/>
        </w:trPr>
        <w:tc>
          <w:tcPr>
            <w:tcW w:w="1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180" w:lineRule="auto"/>
              <w:ind w:left="0" w:right="0" w:firstLine="0"/>
            </w:pPr>
            <w:r>
              <w:t>基金管理人名称</w:t>
            </w:r>
          </w:p>
        </w:tc>
        <w:tc>
          <w:tcPr>
            <w:tcW w:w="30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180" w:lineRule="auto"/>
              <w:ind w:left="0" w:right="0" w:firstLine="0"/>
            </w:pPr>
            <w:r>
              <w:rPr>
                <w:rFonts w:hint="eastAsia"/>
              </w:rPr>
              <w:t>东莞市万葵资产管理有限公司</w:t>
            </w:r>
          </w:p>
        </w:tc>
      </w:tr>
      <w:tr>
        <w:tblPrEx>
          <w:tblCellMar>
            <w:top w:w="129" w:type="dxa"/>
            <w:left w:w="100" w:type="dxa"/>
            <w:bottom w:w="0" w:type="dxa"/>
            <w:right w:w="115" w:type="dxa"/>
          </w:tblCellMar>
        </w:tblPrEx>
        <w:trPr>
          <w:trHeight w:val="440" w:hRule="atLeast"/>
        </w:trPr>
        <w:tc>
          <w:tcPr>
            <w:tcW w:w="1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180" w:lineRule="auto"/>
              <w:ind w:left="0" w:right="0" w:firstLine="0"/>
            </w:pPr>
            <w:r>
              <w:t>基金代码</w:t>
            </w:r>
          </w:p>
        </w:tc>
        <w:tc>
          <w:tcPr>
            <w:tcW w:w="30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180" w:lineRule="auto"/>
              <w:ind w:left="0" w:right="0" w:firstLine="0"/>
            </w:pPr>
            <w:r>
              <w:t>SNM879</w:t>
            </w:r>
          </w:p>
        </w:tc>
      </w:tr>
      <w:tr>
        <w:tblPrEx>
          <w:tblCellMar>
            <w:top w:w="129" w:type="dxa"/>
            <w:left w:w="100" w:type="dxa"/>
            <w:bottom w:w="0" w:type="dxa"/>
            <w:right w:w="115" w:type="dxa"/>
          </w:tblCellMar>
        </w:tblPrEx>
        <w:trPr>
          <w:trHeight w:val="440" w:hRule="atLeast"/>
        </w:trPr>
        <w:tc>
          <w:tcPr>
            <w:tcW w:w="1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180" w:lineRule="auto"/>
              <w:ind w:left="0" w:right="0" w:firstLine="0"/>
            </w:pPr>
            <w:r>
              <w:t>基金托管人名称</w:t>
            </w:r>
          </w:p>
        </w:tc>
        <w:tc>
          <w:tcPr>
            <w:tcW w:w="30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180" w:lineRule="auto"/>
              <w:ind w:left="0" w:right="0" w:firstLine="0"/>
            </w:pPr>
            <w:r>
              <w:t>中信证券股份有限公司</w:t>
            </w:r>
          </w:p>
        </w:tc>
      </w:tr>
      <w:tr>
        <w:tblPrEx>
          <w:tblCellMar>
            <w:top w:w="129" w:type="dxa"/>
            <w:left w:w="100" w:type="dxa"/>
            <w:bottom w:w="0" w:type="dxa"/>
            <w:right w:w="115" w:type="dxa"/>
          </w:tblCellMar>
        </w:tblPrEx>
        <w:trPr>
          <w:trHeight w:val="441" w:hRule="atLeast"/>
        </w:trPr>
        <w:tc>
          <w:tcPr>
            <w:tcW w:w="1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180" w:lineRule="auto"/>
              <w:ind w:left="0" w:right="0" w:firstLine="0"/>
            </w:pPr>
            <w:r>
              <w:t>公告依据</w:t>
            </w:r>
          </w:p>
        </w:tc>
        <w:tc>
          <w:tcPr>
            <w:tcW w:w="30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180" w:lineRule="auto"/>
              <w:ind w:left="0" w:right="0" w:firstLine="0"/>
            </w:pPr>
            <w:r>
              <w:t>万葵稳健22号私募证券投资基金基金合同</w:t>
            </w:r>
          </w:p>
        </w:tc>
      </w:tr>
      <w:tr>
        <w:tblPrEx>
          <w:tblCellMar>
            <w:top w:w="129" w:type="dxa"/>
            <w:left w:w="100" w:type="dxa"/>
            <w:bottom w:w="0" w:type="dxa"/>
            <w:right w:w="115" w:type="dxa"/>
          </w:tblCellMar>
        </w:tblPrEx>
        <w:trPr>
          <w:trHeight w:val="440" w:hRule="atLeast"/>
        </w:trPr>
        <w:tc>
          <w:tcPr>
            <w:tcW w:w="1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180" w:lineRule="auto"/>
              <w:ind w:left="0" w:right="0" w:firstLine="0"/>
            </w:pPr>
            <w:r>
              <w:t>基金合同生效日</w:t>
            </w:r>
          </w:p>
        </w:tc>
        <w:tc>
          <w:tcPr>
            <w:tcW w:w="30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180" w:lineRule="auto"/>
              <w:ind w:left="0" w:right="0" w:firstLine="0"/>
            </w:pPr>
            <w:r>
              <w:t>2021-03-29</w:t>
            </w:r>
          </w:p>
        </w:tc>
      </w:tr>
      <w:tr>
        <w:tblPrEx>
          <w:tblCellMar>
            <w:top w:w="129" w:type="dxa"/>
            <w:left w:w="100" w:type="dxa"/>
            <w:bottom w:w="0" w:type="dxa"/>
            <w:right w:w="115" w:type="dxa"/>
          </w:tblCellMar>
        </w:tblPrEx>
        <w:trPr>
          <w:trHeight w:val="440" w:hRule="atLeast"/>
        </w:trPr>
        <w:tc>
          <w:tcPr>
            <w:tcW w:w="1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180" w:lineRule="auto"/>
              <w:ind w:left="0" w:right="0" w:firstLine="0"/>
            </w:pPr>
            <w:r>
              <w:t>收益分配基准日</w:t>
            </w:r>
          </w:p>
        </w:tc>
        <w:tc>
          <w:tcPr>
            <w:tcW w:w="30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180" w:lineRule="auto"/>
              <w:ind w:left="0" w:right="0" w:firstLine="0"/>
            </w:pPr>
            <w:r>
              <w:t>2023-12-08</w:t>
            </w:r>
          </w:p>
        </w:tc>
      </w:tr>
      <w:tr>
        <w:tblPrEx>
          <w:tblCellMar>
            <w:top w:w="129" w:type="dxa"/>
            <w:left w:w="100" w:type="dxa"/>
            <w:bottom w:w="0" w:type="dxa"/>
            <w:right w:w="115" w:type="dxa"/>
          </w:tblCellMar>
        </w:tblPrEx>
        <w:trPr>
          <w:trHeight w:val="440" w:hRule="atLeast"/>
        </w:trPr>
        <w:tc>
          <w:tcPr>
            <w:tcW w:w="1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180" w:lineRule="auto"/>
              <w:ind w:left="0" w:right="0" w:firstLine="0"/>
            </w:pPr>
            <w:r>
              <w:t>基准日单位净值（元）</w:t>
            </w:r>
          </w:p>
        </w:tc>
        <w:tc>
          <w:tcPr>
            <w:tcW w:w="30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180" w:lineRule="auto"/>
              <w:ind w:left="0" w:right="0" w:firstLine="0"/>
            </w:pPr>
            <w:r>
              <w:t>1.1659</w:t>
            </w:r>
          </w:p>
        </w:tc>
      </w:tr>
      <w:tr>
        <w:tblPrEx>
          <w:tblCellMar>
            <w:top w:w="129" w:type="dxa"/>
            <w:left w:w="100" w:type="dxa"/>
            <w:bottom w:w="0" w:type="dxa"/>
            <w:right w:w="115" w:type="dxa"/>
          </w:tblCellMar>
        </w:tblPrEx>
        <w:trPr>
          <w:trHeight w:val="440" w:hRule="atLeast"/>
        </w:trPr>
        <w:tc>
          <w:tcPr>
            <w:tcW w:w="1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180" w:lineRule="auto"/>
              <w:ind w:left="0" w:right="0" w:firstLine="0"/>
            </w:pPr>
            <w:r>
              <w:t>本次分红模式</w:t>
            </w:r>
          </w:p>
        </w:tc>
        <w:tc>
          <w:tcPr>
            <w:tcW w:w="30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180" w:lineRule="auto"/>
              <w:ind w:left="0" w:right="0" w:firstLine="0"/>
            </w:pPr>
            <w:r>
              <w:rPr>
                <w:rFonts w:hint="eastAsia"/>
              </w:rPr>
              <w:t>按目标净值分配</w:t>
            </w:r>
          </w:p>
        </w:tc>
      </w:tr>
      <w:tr>
        <w:tblPrEx>
          <w:tblCellMar>
            <w:top w:w="129" w:type="dxa"/>
            <w:left w:w="100" w:type="dxa"/>
            <w:bottom w:w="0" w:type="dxa"/>
            <w:right w:w="115" w:type="dxa"/>
          </w:tblCellMar>
        </w:tblPrEx>
        <w:trPr>
          <w:trHeight w:val="440" w:hRule="atLeast"/>
        </w:trPr>
        <w:tc>
          <w:tcPr>
            <w:tcW w:w="1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180" w:lineRule="auto"/>
              <w:ind w:left="0" w:right="0" w:firstLine="0"/>
            </w:pPr>
            <w:r>
              <w:t>本次分红总金额（元）</w:t>
            </w:r>
          </w:p>
        </w:tc>
        <w:tc>
          <w:tcPr>
            <w:tcW w:w="30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180" w:lineRule="auto"/>
              <w:ind w:left="0" w:right="0" w:firstLine="0"/>
            </w:pPr>
            <w:r>
              <w:rPr>
                <w:rFonts w:hint="eastAsia"/>
              </w:rPr>
              <w:t>1,560,005.16</w:t>
            </w:r>
          </w:p>
        </w:tc>
      </w:tr>
      <w:tr>
        <w:tblPrEx>
          <w:tblCellMar>
            <w:top w:w="129" w:type="dxa"/>
            <w:left w:w="100" w:type="dxa"/>
            <w:bottom w:w="0" w:type="dxa"/>
            <w:right w:w="115" w:type="dxa"/>
          </w:tblCellMar>
        </w:tblPrEx>
        <w:trPr>
          <w:trHeight w:val="440" w:hRule="atLeast"/>
        </w:trPr>
        <w:tc>
          <w:tcPr>
            <w:tcW w:w="1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180" w:lineRule="auto"/>
              <w:ind w:left="0" w:right="0" w:firstLine="0"/>
            </w:pPr>
            <w:r>
              <w:rPr>
                <w:rFonts w:hint="eastAsia"/>
              </w:rPr>
              <w:t>本次分红是否计提业绩报酬</w:t>
            </w:r>
          </w:p>
        </w:tc>
        <w:tc>
          <w:tcPr>
            <w:tcW w:w="30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180" w:lineRule="auto"/>
              <w:ind w:left="0" w:right="0" w:firstLine="0"/>
            </w:pPr>
            <w:r>
              <w:rPr>
                <w:rFonts w:hint="eastAsia"/>
              </w:rPr>
              <w:t>是</w:t>
            </w:r>
          </w:p>
        </w:tc>
      </w:tr>
      <w:tr>
        <w:tblPrEx>
          <w:tblCellMar>
            <w:top w:w="129" w:type="dxa"/>
            <w:left w:w="100" w:type="dxa"/>
            <w:bottom w:w="0" w:type="dxa"/>
            <w:right w:w="115" w:type="dxa"/>
          </w:tblCellMar>
        </w:tblPrEx>
        <w:trPr>
          <w:trHeight w:val="440" w:hRule="atLeast"/>
        </w:trPr>
        <w:tc>
          <w:tcPr>
            <w:tcW w:w="1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180" w:lineRule="auto"/>
              <w:ind w:left="0" w:right="0" w:firstLine="0"/>
            </w:pPr>
            <w:r>
              <w:t>本年度分红累计次数</w:t>
            </w:r>
          </w:p>
        </w:tc>
        <w:tc>
          <w:tcPr>
            <w:tcW w:w="30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180" w:lineRule="auto"/>
              <w:ind w:left="0" w:right="0" w:firstLine="0"/>
            </w:pPr>
            <w:r>
              <w:rPr>
                <w:rFonts w:hint="eastAsia"/>
              </w:rPr>
              <w:t>1</w:t>
            </w:r>
          </w:p>
        </w:tc>
      </w:tr>
    </w:tbl>
    <w:p>
      <w:pPr>
        <w:ind w:left="-5" w:right="0"/>
        <w:rPr>
          <w:b/>
        </w:rPr>
      </w:pPr>
      <w:r>
        <w:rPr>
          <w:b/>
        </w:rPr>
        <w:t>2.与分红相关的其他信息</w:t>
      </w:r>
    </w:p>
    <w:tbl>
      <w:tblPr>
        <w:tblStyle w:val="6"/>
        <w:tblW w:w="0" w:type="auto"/>
        <w:tblInd w:w="0" w:type="dxa"/>
        <w:tblLayout w:type="fixed"/>
        <w:tblCellMar>
          <w:top w:w="129" w:type="dxa"/>
          <w:left w:w="100" w:type="dxa"/>
          <w:bottom w:w="0" w:type="dxa"/>
          <w:right w:w="115" w:type="dxa"/>
        </w:tblCellMar>
      </w:tblPr>
      <w:tblGrid>
        <w:gridCol w:w="4181"/>
        <w:gridCol w:w="3"/>
        <w:gridCol w:w="6359"/>
        <w:gridCol w:w="2"/>
        <w:gridCol w:w="235"/>
      </w:tblGrid>
      <w:tr>
        <w:tblPrEx>
          <w:tblCellMar>
            <w:top w:w="129" w:type="dxa"/>
            <w:left w:w="100" w:type="dxa"/>
            <w:bottom w:w="0" w:type="dxa"/>
            <w:right w:w="115" w:type="dxa"/>
          </w:tblCellMar>
        </w:tblPrEx>
        <w:trPr>
          <w:gridAfter w:val="2"/>
          <w:trHeight w:val="440" w:hRule="atLeast"/>
        </w:trPr>
        <w:tc>
          <w:tcPr>
            <w:tcW w:w="4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180" w:lineRule="auto"/>
              <w:ind w:left="0" w:right="0" w:firstLine="0"/>
            </w:pPr>
            <w:r>
              <w:t>权益登记日</w:t>
            </w:r>
          </w:p>
        </w:tc>
        <w:tc>
          <w:tcPr>
            <w:tcW w:w="63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180" w:lineRule="auto"/>
              <w:ind w:left="0" w:right="0" w:firstLine="0"/>
            </w:pPr>
            <w:r>
              <w:rPr>
                <w:rFonts w:hint="eastAsia"/>
              </w:rPr>
              <w:t>2023-12-11</w:t>
            </w:r>
          </w:p>
        </w:tc>
      </w:tr>
      <w:tr>
        <w:tblPrEx>
          <w:tblCellMar>
            <w:top w:w="129" w:type="dxa"/>
            <w:left w:w="100" w:type="dxa"/>
            <w:bottom w:w="0" w:type="dxa"/>
            <w:right w:w="115" w:type="dxa"/>
          </w:tblCellMar>
        </w:tblPrEx>
        <w:trPr>
          <w:gridAfter w:val="2"/>
          <w:trHeight w:val="440" w:hRule="atLeast"/>
        </w:trPr>
        <w:tc>
          <w:tcPr>
            <w:tcW w:w="4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180" w:lineRule="auto"/>
              <w:ind w:left="0" w:right="0" w:firstLine="0"/>
            </w:pPr>
            <w:r>
              <w:t>除权除息日</w:t>
            </w:r>
          </w:p>
        </w:tc>
        <w:tc>
          <w:tcPr>
            <w:tcW w:w="63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180" w:lineRule="auto"/>
              <w:ind w:left="0" w:right="0" w:firstLine="0"/>
            </w:pPr>
            <w:r>
              <w:rPr>
                <w:rFonts w:hint="eastAsia"/>
              </w:rPr>
              <w:t>2023-12-08</w:t>
            </w:r>
          </w:p>
        </w:tc>
      </w:tr>
      <w:tr>
        <w:tblPrEx>
          <w:tblCellMar>
            <w:top w:w="129" w:type="dxa"/>
            <w:left w:w="100" w:type="dxa"/>
            <w:bottom w:w="0" w:type="dxa"/>
            <w:right w:w="115" w:type="dxa"/>
          </w:tblCellMar>
        </w:tblPrEx>
        <w:trPr>
          <w:gridAfter w:val="2"/>
          <w:trHeight w:val="440" w:hRule="atLeast"/>
        </w:trPr>
        <w:tc>
          <w:tcPr>
            <w:tcW w:w="4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180" w:lineRule="auto"/>
              <w:ind w:left="0" w:right="0" w:firstLine="0"/>
            </w:pPr>
            <w:r>
              <w:t>分红方式</w:t>
            </w:r>
          </w:p>
        </w:tc>
        <w:tc>
          <w:tcPr>
            <w:tcW w:w="63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180" w:lineRule="auto"/>
              <w:ind w:left="0" w:right="0" w:firstLine="0"/>
            </w:pPr>
            <w:r>
              <w:rPr>
                <w:rFonts w:hint="eastAsia"/>
              </w:rPr>
              <w:t>红利再投资</w:t>
            </w:r>
          </w:p>
        </w:tc>
      </w:tr>
      <w:tr>
        <w:tblPrEx>
          <w:tblCellMar>
            <w:top w:w="129" w:type="dxa"/>
            <w:left w:w="100" w:type="dxa"/>
            <w:bottom w:w="0" w:type="dxa"/>
            <w:right w:w="115" w:type="dxa"/>
          </w:tblCellMar>
        </w:tblPrEx>
        <w:trPr>
          <w:gridAfter w:val="2"/>
          <w:trHeight w:val="440" w:hRule="atLeast"/>
        </w:trPr>
        <w:tc>
          <w:tcPr>
            <w:tcW w:w="4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180" w:lineRule="auto"/>
              <w:ind w:left="0" w:right="0" w:firstLine="0"/>
            </w:pPr>
            <w:r>
              <w:t>红利再投确认日期</w:t>
            </w:r>
          </w:p>
        </w:tc>
        <w:tc>
          <w:tcPr>
            <w:tcW w:w="63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180" w:lineRule="auto"/>
              <w:ind w:left="0" w:right="0" w:firstLine="0"/>
            </w:pPr>
            <w:r>
              <w:rPr>
                <w:rFonts w:hint="eastAsia"/>
              </w:rPr>
              <w:t>2023-12-12</w:t>
            </w:r>
          </w:p>
        </w:tc>
      </w:tr>
      <w:tr>
        <w:tblPrEx>
          <w:tblCellMar>
            <w:top w:w="129" w:type="dxa"/>
            <w:left w:w="100" w:type="dxa"/>
            <w:bottom w:w="0" w:type="dxa"/>
            <w:right w:w="115" w:type="dxa"/>
          </w:tblCellMar>
        </w:tblPrEx>
        <w:trPr>
          <w:gridAfter w:val="2"/>
          <w:trHeight w:val="484" w:hRule="atLeast"/>
        </w:trPr>
        <w:tc>
          <w:tcPr>
            <w:tcW w:w="4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180" w:lineRule="auto"/>
              <w:ind w:left="0" w:right="0" w:firstLine="0"/>
            </w:pPr>
            <w:r>
              <w:t>分红对象</w:t>
            </w:r>
          </w:p>
        </w:tc>
        <w:tc>
          <w:tcPr>
            <w:tcW w:w="63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180" w:lineRule="auto"/>
              <w:ind w:left="0" w:right="0" w:firstLine="0"/>
            </w:pPr>
            <w:r>
              <w:t>权益登记日注册登记机构中登记在册的基金全体份额所有人</w:t>
            </w:r>
          </w:p>
        </w:tc>
      </w:tr>
      <w:tr>
        <w:tblPrEx>
          <w:tblCellMar>
            <w:top w:w="129" w:type="dxa"/>
            <w:left w:w="100" w:type="dxa"/>
            <w:bottom w:w="0" w:type="dxa"/>
            <w:right w:w="115" w:type="dxa"/>
          </w:tblCellMar>
        </w:tblPrEx>
        <w:trPr>
          <w:trHeight w:val="433" w:hRule="atLeast"/>
        </w:trPr>
        <w:tc>
          <w:tcPr>
            <w:tcW w:w="1054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180" w:lineRule="auto"/>
              <w:ind w:left="0" w:right="0" w:firstLine="0"/>
              <w:rPr>
                <w:b/>
              </w:rPr>
            </w:pPr>
            <w:r>
              <w:rPr>
                <w:rFonts w:hint="eastAsia"/>
              </w:rPr>
              <w:t>销售机构</w:t>
            </w:r>
          </w:p>
        </w:tc>
        <w:tc>
          <w:tcPr>
            <w:tcW w:w="235" w:type="dxa"/>
          </w:tcPr>
          <w:p>
            <w:pPr>
              <w:spacing w:after="160" w:line="180" w:lineRule="auto"/>
              <w:ind w:left="0" w:right="0" w:firstLine="0"/>
            </w:pPr>
          </w:p>
        </w:tc>
      </w:tr>
      <w:tr>
        <w:tblPrEx>
          <w:tblCellMar>
            <w:top w:w="129" w:type="dxa"/>
            <w:left w:w="100" w:type="dxa"/>
            <w:bottom w:w="0" w:type="dxa"/>
            <w:right w:w="115" w:type="dxa"/>
          </w:tblCellMar>
        </w:tblPrEx>
        <w:trPr>
          <w:gridAfter w:val="1"/>
          <w:wAfter w:w="235" w:type="dxa"/>
          <w:trHeight w:val="433" w:hRule="atLeast"/>
        </w:trPr>
        <w:tc>
          <w:tcPr>
            <w:tcW w:w="41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180" w:lineRule="auto"/>
              <w:ind w:left="0" w:right="0" w:firstLine="0"/>
            </w:pPr>
            <w:r>
              <w:t>销售机构名称</w:t>
            </w:r>
          </w:p>
        </w:tc>
        <w:tc>
          <w:tcPr>
            <w:tcW w:w="63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180" w:lineRule="auto"/>
              <w:ind w:left="0" w:right="0" w:firstLine="0"/>
            </w:pPr>
            <w:r>
              <w:t>现金红利发放日</w:t>
            </w:r>
          </w:p>
        </w:tc>
      </w:tr>
      <w:tr>
        <w:tblPrEx>
          <w:tblCellMar>
            <w:top w:w="129" w:type="dxa"/>
            <w:left w:w="100" w:type="dxa"/>
            <w:bottom w:w="0" w:type="dxa"/>
            <w:right w:w="115" w:type="dxa"/>
          </w:tblCellMar>
        </w:tblPrEx>
        <w:trPr>
          <w:gridAfter w:val="1"/>
          <w:wAfter w:w="235" w:type="dxa"/>
          <w:trHeight w:val="433" w:hRule="atLeast"/>
        </w:trPr>
        <w:tc>
          <w:tcPr>
            <w:tcW w:w="41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180" w:lineRule="auto"/>
              <w:ind w:left="0" w:right="0" w:firstLine="0"/>
            </w:pPr>
            <w:r>
              <w:t>直销</w:t>
            </w:r>
          </w:p>
        </w:tc>
        <w:tc>
          <w:tcPr>
            <w:tcW w:w="63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180" w:lineRule="auto"/>
              <w:ind w:left="0" w:right="0" w:firstLine="0"/>
            </w:pPr>
            <w:r>
              <w:t>2023-12-12</w:t>
            </w:r>
          </w:p>
        </w:tc>
      </w:tr>
    </w:tbl>
    <w:p>
      <w:pPr>
        <w:ind w:left="-5" w:right="0"/>
        <w:rPr>
          <w:b/>
        </w:rPr>
      </w:pPr>
      <w:r>
        <w:rPr>
          <w:b/>
        </w:rPr>
        <w:t>3.其他需要提示的事项</w:t>
      </w:r>
    </w:p>
    <w:p>
      <w:pPr>
        <w:ind w:right="0"/>
      </w:pPr>
      <w:r>
        <w:rPr>
          <w:rFonts w:hint="eastAsia"/>
        </w:rPr>
        <w:t>（1）</w:t>
      </w:r>
      <w:r>
        <w:t>红利款将于现金红利发放日自基金托管账户划出,投资者收到红利款的时间以银行实际到账时间为准。</w:t>
      </w:r>
    </w:p>
    <w:p>
      <w:pPr>
        <w:ind w:right="0"/>
      </w:pPr>
      <w:r>
        <w:rPr>
          <w:rFonts w:hint="eastAsia"/>
        </w:rPr>
        <w:t>（2）</w:t>
      </w:r>
      <w:r>
        <w:t>R日(权益登记日)登记在册的基金份额享有本次分红权益。</w:t>
      </w:r>
    </w:p>
    <w:p>
      <w:pPr>
        <w:ind w:right="0"/>
      </w:pPr>
      <w:r>
        <w:rPr>
          <w:rFonts w:hint="eastAsia"/>
        </w:rPr>
        <w:t>（3）</w:t>
      </w:r>
      <w:r>
        <w:t>红利款在计算过程中可能因四舍五入产生尾差,投资者最终收到的红利款以注册登记机构确认金额为准。</w:t>
      </w:r>
    </w:p>
    <w:p>
      <w:pPr>
        <w:ind w:left="5280" w:right="0" w:hanging="5280" w:hangingChars="2200"/>
        <w:jc w:val="right"/>
      </w:pPr>
      <w:r>
        <w:t xml:space="preserve">                                                                                        东莞市万葵资产管理有限公司                                                                                                          2023年12月11日</w:t>
      </w:r>
    </w:p>
    <w:sectPr>
      <w:pgSz w:w="11900" w:h="16840"/>
      <w:pgMar w:top="1440" w:right="737" w:bottom="1440" w:left="6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8" w:lineRule="auto"/>
      </w:pPr>
    </w:p>
  </w:footnote>
  <w:footnote w:type="continuationSeparator" w:id="1">
    <w:p>
      <w:pPr>
        <w:spacing w:before="0" w:after="0" w:line="268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4AB"/>
    <w:rsid w:val="0004175E"/>
    <w:rsid w:val="000452EE"/>
    <w:rsid w:val="000862D0"/>
    <w:rsid w:val="000C1057"/>
    <w:rsid w:val="000C428B"/>
    <w:rsid w:val="000C7A19"/>
    <w:rsid w:val="001B4BE2"/>
    <w:rsid w:val="001B62F7"/>
    <w:rsid w:val="001C5FD5"/>
    <w:rsid w:val="002172D2"/>
    <w:rsid w:val="002A04C0"/>
    <w:rsid w:val="002A232B"/>
    <w:rsid w:val="002D5750"/>
    <w:rsid w:val="0034041C"/>
    <w:rsid w:val="00363F4C"/>
    <w:rsid w:val="00370D96"/>
    <w:rsid w:val="003768C6"/>
    <w:rsid w:val="00386E0E"/>
    <w:rsid w:val="003C0B4C"/>
    <w:rsid w:val="003C4E0E"/>
    <w:rsid w:val="003C5289"/>
    <w:rsid w:val="0042720E"/>
    <w:rsid w:val="004403DF"/>
    <w:rsid w:val="00465803"/>
    <w:rsid w:val="00485DA1"/>
    <w:rsid w:val="004907C5"/>
    <w:rsid w:val="004B4DB8"/>
    <w:rsid w:val="00526165"/>
    <w:rsid w:val="005677A0"/>
    <w:rsid w:val="00590441"/>
    <w:rsid w:val="005B14AB"/>
    <w:rsid w:val="005E7082"/>
    <w:rsid w:val="0066259F"/>
    <w:rsid w:val="00665A85"/>
    <w:rsid w:val="00670F2D"/>
    <w:rsid w:val="006C23B4"/>
    <w:rsid w:val="006D7E0D"/>
    <w:rsid w:val="0070573C"/>
    <w:rsid w:val="0076371F"/>
    <w:rsid w:val="00800ACF"/>
    <w:rsid w:val="0081373B"/>
    <w:rsid w:val="00895D4E"/>
    <w:rsid w:val="008E5483"/>
    <w:rsid w:val="009558FE"/>
    <w:rsid w:val="00A2662D"/>
    <w:rsid w:val="00A402E4"/>
    <w:rsid w:val="00A8053E"/>
    <w:rsid w:val="00B65493"/>
    <w:rsid w:val="00B87DED"/>
    <w:rsid w:val="00C74E0D"/>
    <w:rsid w:val="00CF22FF"/>
    <w:rsid w:val="00CF3E69"/>
    <w:rsid w:val="00D56EB7"/>
    <w:rsid w:val="00D80153"/>
    <w:rsid w:val="00DB2790"/>
    <w:rsid w:val="00EB6B1B"/>
    <w:rsid w:val="00ED3A5B"/>
    <w:rsid w:val="00F5685C"/>
    <w:rsid w:val="00F61AD3"/>
    <w:rsid w:val="00FB0EFC"/>
    <w:rsid w:val="7B3F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1" w:line="268" w:lineRule="auto"/>
      <w:ind w:left="10" w:right="2201" w:hanging="10"/>
    </w:pPr>
    <w:rPr>
      <w:rFonts w:ascii="华文宋体" w:hAnsi="华文宋体" w:eastAsia="华文宋体" w:cs="华文宋体"/>
      <w:color w:val="000000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customStyle="1" w:styleId="6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字符"/>
    <w:basedOn w:val="5"/>
    <w:link w:val="3"/>
    <w:qFormat/>
    <w:uiPriority w:val="99"/>
    <w:rPr>
      <w:rFonts w:ascii="华文宋体" w:hAnsi="华文宋体" w:eastAsia="华文宋体" w:cs="华文宋体"/>
      <w:color w:val="000000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华文宋体" w:hAnsi="华文宋体" w:eastAsia="华文宋体" w:cs="华文宋体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3278</Words>
  <Characters>18690</Characters>
  <Lines>155</Lines>
  <Paragraphs>43</Paragraphs>
  <TotalTime>234</TotalTime>
  <ScaleCrop>false</ScaleCrop>
  <LinksUpToDate>false</LinksUpToDate>
  <CharactersWithSpaces>21925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2022-12-30T01:23:00Z</dcterms:created>
  <dc:creator>王喆043091</dc:creator>
  <cp:lastModifiedBy>CJ</cp:lastModifiedBy>
  <dcterms:modified xsi:type="dcterms:W3CDTF">2023-12-12T01:53:59Z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6C2B6031F15B4753BE8B374A4D41B28D_13</vt:lpwstr>
  </property>
</Properties>
</file>